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0"/>
          <w:highlight w:val="none"/>
          <w:u w:val="singl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沙坪坝区陈青路51号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kern w:val="0"/>
          <w:sz w:val="84"/>
          <w:szCs w:val="44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kern w:val="0"/>
          <w:sz w:val="8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0"/>
          <w:sz w:val="84"/>
          <w:szCs w:val="44"/>
          <w:highlight w:val="none"/>
        </w:rPr>
        <w:t>招　租　文　件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10"/>
          <w:szCs w:val="10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20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20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20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20"/>
          <w:highlight w:val="non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20"/>
          <w:highlight w:val="none"/>
        </w:rPr>
      </w:pPr>
    </w:p>
    <w:p>
      <w:pPr>
        <w:tabs>
          <w:tab w:val="left" w:pos="5681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/>
          <w:color w:val="auto"/>
          <w:w w:val="99"/>
          <w:kern w:val="0"/>
          <w:sz w:val="28"/>
          <w:szCs w:val="28"/>
          <w:highlight w:val="none"/>
        </w:rPr>
        <w:t>招　　标　 人：</w:t>
      </w:r>
      <w:r>
        <w:rPr>
          <w:rFonts w:hint="eastAsia" w:ascii="仿宋" w:hAnsi="仿宋" w:eastAsia="仿宋" w:cs="仿宋"/>
          <w:b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西部（重庆）科学城沙兴实业发展集团有限公司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0"/>
          <w:highlight w:val="none"/>
          <w:u w:val="singl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沙坪坝区陈青路51号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2616" w:firstLineChars="735"/>
        <w:textAlignment w:val="auto"/>
        <w:rPr>
          <w:rFonts w:hint="eastAsia" w:ascii="仿宋" w:hAnsi="仿宋" w:eastAsia="仿宋" w:cs="仿宋"/>
          <w:bCs/>
          <w:snapToGrid w:val="0"/>
          <w:color w:val="auto"/>
          <w:w w:val="99"/>
          <w:kern w:val="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仿宋" w:hAnsi="仿宋" w:eastAsia="仿宋" w:cs="仿宋"/>
          <w:bCs/>
          <w:snapToGrid w:val="0"/>
          <w:color w:val="auto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 w:val="0"/>
          <w:snapToGrid w:val="0"/>
          <w:color w:val="auto"/>
          <w:w w:val="99"/>
          <w:kern w:val="0"/>
          <w:sz w:val="36"/>
          <w:szCs w:val="36"/>
          <w:highlight w:val="none"/>
        </w:rPr>
        <w:t>第一章  招租公告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</w:pPr>
      <w:bookmarkStart w:id="0" w:name="_Toc245093758"/>
      <w:bookmarkStart w:id="1" w:name="_Toc200359427"/>
      <w:bookmarkStart w:id="2" w:name="_Toc200359238"/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>1.招租条件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1.1本项目业主和招租单位为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西部（重庆）科学城沙兴实业发展集团有限公司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，项目已具备招租条件，现对本项目的租赁进行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自行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招租。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  <w:lang w:val="en-US" w:eastAsia="zh-CN"/>
        </w:rPr>
      </w:pPr>
      <w:bookmarkStart w:id="3" w:name="_Toc200359239"/>
      <w:bookmarkStart w:id="4" w:name="_Toc245093759"/>
      <w:bookmarkStart w:id="5" w:name="_Toc200359428"/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>2.项目概况与招租范围</w:t>
      </w:r>
      <w:bookmarkEnd w:id="3"/>
      <w:bookmarkEnd w:id="4"/>
      <w:bookmarkEnd w:id="5"/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  <w:lang w:val="en-US" w:eastAsia="zh-CN"/>
        </w:rPr>
        <w:t>及条件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bookmarkStart w:id="6" w:name="_Toc245093760"/>
      <w:bookmarkStart w:id="7" w:name="_Toc200359240"/>
      <w:bookmarkStart w:id="8" w:name="_Toc200359429"/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2.1项目位于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沙坪坝区陈青路51号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，建筑面积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26㎡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2.2租赁期限为2年，租金自合同期第二年起递增3%。</w:t>
      </w:r>
    </w:p>
    <w:bookmarkEnd w:id="6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</w:pPr>
      <w:bookmarkStart w:id="9" w:name="_Toc245093761"/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>3.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>资格要求</w:t>
      </w:r>
      <w:bookmarkEnd w:id="7"/>
      <w:bookmarkEnd w:id="8"/>
      <w:bookmarkEnd w:id="9"/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3.1本次招租资格为具有履行承租项目所必须条件，提供合法身份证明的经营者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3.2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人可为境内外企业、其他组织和自然人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应符合并同意下列条件：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（1）诚实守信、依法经营，具有履行合同的能力；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（2）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时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人应在公告期限内即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日-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月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日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缴纳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保证金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643元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到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西部（重庆）科学城沙兴实业发展集团有限公司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指定的竞租保证金账户（收款单位：西部（重庆）科学城沙兴实业发展集团有限公司，开户银行：中国光大银行重庆学府路支行，账号：78520180801676226）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转账备注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沙坪坝区陈青路51号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竞租保证金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（3）同意并接受本招租文件所有内容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遵守本项目的限制性规定；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（4）若为自然人，应当具有完全民事行为能力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国家法律、行政法规规定的其他条件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</w:pPr>
      <w:bookmarkStart w:id="10" w:name="_Toc200359241"/>
      <w:bookmarkStart w:id="11" w:name="_Toc200359430"/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>4.招租文件的获取</w:t>
      </w:r>
      <w:bookmarkEnd w:id="10"/>
      <w:bookmarkEnd w:id="11"/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</w:pPr>
      <w:bookmarkStart w:id="12" w:name="_Toc245093763"/>
      <w:bookmarkStart w:id="13" w:name="_Toc200359243"/>
      <w:bookmarkStart w:id="14" w:name="_Toc200359432"/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凡有意参加竞租的单位或个体，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在西部（重庆）科学城沙兴实业发展集团有限公司官网招租公告内自行获取。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>5.发布公告的媒介</w:t>
      </w:r>
      <w:bookmarkEnd w:id="12"/>
      <w:bookmarkEnd w:id="13"/>
      <w:bookmarkEnd w:id="14"/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bookmarkStart w:id="15" w:name="_Toc245093764"/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5.1 本次招租公告在西部（重庆）科学城沙兴实业发展集团有限公司（域名为：scsxjt.com）上发布。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>6.联系方式</w:t>
      </w:r>
      <w:bookmarkEnd w:id="15"/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w w:val="100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招租单位：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w w:val="100"/>
          <w:kern w:val="0"/>
          <w:sz w:val="21"/>
          <w:szCs w:val="21"/>
          <w:highlight w:val="none"/>
          <w:u w:val="single"/>
          <w:lang w:val="en-US" w:eastAsia="zh-CN" w:bidi="ar-SA"/>
        </w:rPr>
        <w:t>西部（重庆）科学城沙兴实业发展集团有限公司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w w:val="100"/>
          <w:kern w:val="0"/>
          <w:sz w:val="21"/>
          <w:szCs w:val="21"/>
          <w:highlight w:val="none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w w:val="100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w w:val="100"/>
          <w:kern w:val="0"/>
          <w:sz w:val="21"/>
          <w:szCs w:val="21"/>
          <w:highlight w:val="none"/>
          <w:lang w:val="en-US" w:eastAsia="zh-CN" w:bidi="ar-SA"/>
        </w:rPr>
        <w:t>地址：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000000"/>
          <w:kern w:val="0"/>
          <w:sz w:val="21"/>
          <w:szCs w:val="21"/>
          <w:lang w:val="en-US" w:eastAsia="zh-CN"/>
        </w:rPr>
        <w:t>重庆市沙坪坝区大学城景和路34号智汇国际17楼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snapToGrid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000000"/>
          <w:kern w:val="0"/>
          <w:sz w:val="21"/>
          <w:szCs w:val="21"/>
          <w:lang w:val="en-US" w:eastAsia="zh-CN"/>
        </w:rPr>
        <w:t>联系人：</w:t>
      </w: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000000"/>
          <w:kern w:val="0"/>
          <w:sz w:val="21"/>
          <w:szCs w:val="21"/>
          <w:lang w:val="en-US" w:eastAsia="zh-CN"/>
        </w:rPr>
        <w:t>罗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000000"/>
          <w:kern w:val="0"/>
          <w:sz w:val="21"/>
          <w:szCs w:val="21"/>
          <w:lang w:val="en-US" w:eastAsia="zh-CN"/>
        </w:rPr>
        <w:t>老师  电话：</w:t>
      </w: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000000"/>
          <w:kern w:val="0"/>
          <w:sz w:val="21"/>
          <w:szCs w:val="21"/>
          <w:lang w:val="en-US" w:eastAsia="zh-CN"/>
        </w:rPr>
        <w:t>18581467310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4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w w:val="100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w w:val="100"/>
          <w:kern w:val="0"/>
          <w:sz w:val="21"/>
          <w:szCs w:val="21"/>
          <w:highlight w:val="none"/>
          <w:lang w:val="en-US" w:eastAsia="zh-CN" w:bidi="ar-SA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720" w:firstLineChars="200"/>
        <w:jc w:val="center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6"/>
          <w:szCs w:val="36"/>
          <w:highlight w:val="none"/>
        </w:rPr>
      </w:pPr>
      <w:bookmarkStart w:id="16" w:name="_Toc24509376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center"/>
        <w:textAlignment w:val="auto"/>
        <w:rPr>
          <w:rFonts w:hint="default" w:ascii="仿宋" w:hAnsi="仿宋" w:eastAsia="仿宋" w:cs="仿宋"/>
          <w:b/>
          <w:bCs w:val="0"/>
          <w:snapToGrid w:val="0"/>
          <w:color w:val="auto"/>
          <w:w w:val="99"/>
          <w:kern w:val="0"/>
          <w:sz w:val="36"/>
          <w:szCs w:val="36"/>
          <w:highlight w:val="none"/>
        </w:rPr>
      </w:pPr>
      <w:r>
        <w:rPr>
          <w:rFonts w:hint="default" w:ascii="仿宋" w:hAnsi="仿宋" w:eastAsia="仿宋" w:cs="仿宋"/>
          <w:b/>
          <w:bCs w:val="0"/>
          <w:snapToGrid w:val="0"/>
          <w:color w:val="auto"/>
          <w:w w:val="99"/>
          <w:kern w:val="0"/>
          <w:sz w:val="36"/>
          <w:szCs w:val="36"/>
          <w:highlight w:val="none"/>
        </w:rPr>
        <w:t xml:space="preserve">第二章 </w:t>
      </w:r>
      <w:r>
        <w:rPr>
          <w:rFonts w:hint="default" w:ascii="仿宋" w:hAnsi="仿宋" w:eastAsia="仿宋" w:cs="仿宋"/>
          <w:b/>
          <w:bCs w:val="0"/>
          <w:snapToGrid w:val="0"/>
          <w:color w:val="auto"/>
          <w:w w:val="99"/>
          <w:kern w:val="0"/>
          <w:sz w:val="36"/>
          <w:szCs w:val="36"/>
          <w:highlight w:val="none"/>
          <w:lang w:eastAsia="zh-CN"/>
        </w:rPr>
        <w:t>竞租</w:t>
      </w:r>
      <w:r>
        <w:rPr>
          <w:rFonts w:hint="default" w:ascii="仿宋" w:hAnsi="仿宋" w:eastAsia="仿宋" w:cs="仿宋"/>
          <w:b/>
          <w:bCs w:val="0"/>
          <w:snapToGrid w:val="0"/>
          <w:color w:val="auto"/>
          <w:w w:val="99"/>
          <w:kern w:val="0"/>
          <w:sz w:val="36"/>
          <w:szCs w:val="36"/>
          <w:highlight w:val="none"/>
        </w:rPr>
        <w:t>文件、</w:t>
      </w:r>
      <w:r>
        <w:rPr>
          <w:rFonts w:hint="default" w:ascii="仿宋" w:hAnsi="仿宋" w:eastAsia="仿宋" w:cs="仿宋"/>
          <w:b/>
          <w:bCs w:val="0"/>
          <w:snapToGrid w:val="0"/>
          <w:color w:val="auto"/>
          <w:w w:val="99"/>
          <w:kern w:val="0"/>
          <w:sz w:val="36"/>
          <w:szCs w:val="36"/>
          <w:highlight w:val="none"/>
          <w:lang w:eastAsia="zh-CN"/>
        </w:rPr>
        <w:t>竞租</w:t>
      </w:r>
      <w:r>
        <w:rPr>
          <w:rFonts w:hint="default" w:ascii="仿宋" w:hAnsi="仿宋" w:eastAsia="仿宋" w:cs="仿宋"/>
          <w:b/>
          <w:bCs w:val="0"/>
          <w:snapToGrid w:val="0"/>
          <w:color w:val="auto"/>
          <w:w w:val="99"/>
          <w:kern w:val="0"/>
          <w:sz w:val="36"/>
          <w:szCs w:val="36"/>
          <w:highlight w:val="none"/>
        </w:rPr>
        <w:t>须知</w:t>
      </w:r>
      <w:bookmarkEnd w:id="16"/>
      <w:r>
        <w:rPr>
          <w:rFonts w:hint="default" w:ascii="仿宋" w:hAnsi="仿宋" w:eastAsia="仿宋" w:cs="仿宋"/>
          <w:b/>
          <w:bCs w:val="0"/>
          <w:snapToGrid w:val="0"/>
          <w:color w:val="auto"/>
          <w:w w:val="99"/>
          <w:kern w:val="0"/>
          <w:sz w:val="36"/>
          <w:szCs w:val="36"/>
          <w:highlight w:val="none"/>
        </w:rPr>
        <w:t>和评</w:t>
      </w:r>
      <w:r>
        <w:rPr>
          <w:rFonts w:hint="default" w:ascii="仿宋" w:hAnsi="仿宋" w:eastAsia="仿宋" w:cs="仿宋"/>
          <w:b/>
          <w:bCs w:val="0"/>
          <w:snapToGrid w:val="0"/>
          <w:color w:val="auto"/>
          <w:w w:val="99"/>
          <w:kern w:val="0"/>
          <w:sz w:val="36"/>
          <w:szCs w:val="36"/>
          <w:highlight w:val="none"/>
          <w:lang w:val="en-US" w:eastAsia="zh-CN"/>
        </w:rPr>
        <w:t>选</w:t>
      </w:r>
      <w:r>
        <w:rPr>
          <w:rFonts w:hint="default" w:ascii="仿宋" w:hAnsi="仿宋" w:eastAsia="仿宋" w:cs="仿宋"/>
          <w:b/>
          <w:bCs w:val="0"/>
          <w:snapToGrid w:val="0"/>
          <w:color w:val="auto"/>
          <w:w w:val="99"/>
          <w:kern w:val="0"/>
          <w:sz w:val="36"/>
          <w:szCs w:val="36"/>
          <w:highlight w:val="none"/>
        </w:rPr>
        <w:t>办法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</w:pPr>
      <w:bookmarkStart w:id="17" w:name="_Toc245093784"/>
      <w:bookmarkStart w:id="18" w:name="_Toc200513144"/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>1.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>文件</w:t>
      </w:r>
      <w:bookmarkEnd w:id="17"/>
      <w:bookmarkEnd w:id="18"/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</w:pPr>
      <w:bookmarkStart w:id="19" w:name="_Toc200513145"/>
      <w:bookmarkStart w:id="20" w:name="_Toc245093785"/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（1）本项目招租限价为：建筑面积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26㎡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最低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底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价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643元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/月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（2）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人报价不得低于限价，否则将被认定为废标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（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多人竞价：报价竞租价格相同时采取第二轮报价。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第二轮报价最高竞租价相同的，原承租人优先签约。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>2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>须知</w:t>
      </w:r>
    </w:p>
    <w:bookmarkEnd w:id="19"/>
    <w:bookmarkEnd w:id="20"/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bookmarkStart w:id="21" w:name="_Toc245093786"/>
      <w:bookmarkStart w:id="22" w:name="_Toc200513146"/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2.1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文件的密封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文件由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申请人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自行用文件袋密封并在密封处盖章或按手印，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文件袋正面应标明“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沙坪坝区陈青路51号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租赁报价”等字样，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时密封完整。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ind w:left="1720" w:leftChars="819"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6"/>
          <w:szCs w:val="36"/>
          <w:highlight w:val="none"/>
        </w:rPr>
        <w:t>租赁报价单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eastAsia="zh-CN"/>
        </w:rPr>
        <w:t>西部（重庆）科学城沙兴实业发展集团有限公司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有意向租赁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房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val="en-US" w:eastAsia="zh-CN"/>
        </w:rPr>
        <w:t>屋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，面积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   ㎡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。现根据周边情况和我（单位、个人）慎重考虑，对该房屋报价如下：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ind w:firstLine="528" w:firstLineChars="220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房屋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lang w:eastAsia="zh-CN"/>
        </w:rPr>
        <w:t>总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价：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元/月，用途为: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ind w:firstLine="2685" w:firstLineChars="1119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ind w:firstLine="2685" w:firstLineChars="1119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 xml:space="preserve">报价单位(个人)：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ind w:firstLine="2685" w:firstLineChars="1119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ind w:firstLine="2685" w:firstLineChars="1119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 xml:space="preserve">联系电话：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ind w:firstLine="2205" w:firstLineChars="919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ind w:firstLine="2683" w:firstLineChars="1118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highlight w:val="none"/>
        </w:rPr>
        <w:t>年   月    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b w:val="0"/>
          <w:color w:val="auto"/>
          <w:spacing w:val="0"/>
          <w:w w:val="100"/>
          <w:kern w:val="2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spacing w:val="0"/>
          <w:w w:val="100"/>
          <w:kern w:val="2"/>
          <w:sz w:val="21"/>
          <w:szCs w:val="21"/>
          <w:highlight w:val="none"/>
        </w:rPr>
        <w:t>说明：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 xml:space="preserve">1.  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申请人在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前须缴纳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足额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保证金（银行转账至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招租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单位指定账户）。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2. 一个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申请单位凭保证金收据领一张租赁报价表（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申请人在租赁报价表上盖章或手印）。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3. 租赁报价表上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申请人的名称须与缴纳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保证金的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申请人的名称保持一致。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4. 修改作废。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 xml:space="preserve">5. 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申请人须将已盖章或手印的租赁报价表完成报价后与资格审查资料（营业执照复印件或身份证复印件1份）一并装入信封密封。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2.2递交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2.2.1递交时间和地点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2.2.2递交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截止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时间：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2026年3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10:00。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 xml:space="preserve">                 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 xml:space="preserve"> 2.2.3递交地点：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000000"/>
          <w:kern w:val="0"/>
          <w:sz w:val="21"/>
          <w:szCs w:val="21"/>
          <w:lang w:val="en-US" w:eastAsia="zh-CN"/>
        </w:rPr>
        <w:t>重庆市沙坪坝区大学城景和路34号智汇国际17楼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>3.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  <w:lang w:val="en-US" w:eastAsia="zh-CN"/>
        </w:rPr>
        <w:t>竞租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3.1 竞租时间和地点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3.1.1 竞租时间：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6</w:t>
      </w:r>
      <w:bookmarkStart w:id="25" w:name="_GoBack"/>
      <w:bookmarkEnd w:id="25"/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上午10:00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3.1.2 竞租地点：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000000"/>
          <w:kern w:val="0"/>
          <w:sz w:val="21"/>
          <w:szCs w:val="21"/>
          <w:lang w:val="en-US" w:eastAsia="zh-CN"/>
        </w:rPr>
        <w:t>重庆市沙坪坝区大学城景和路34号智汇国际17楼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3.2 竞租程序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主持人按下列程序进行竞租：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3.2.1 宣布竞租纪律；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3.2.2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公布在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截止时间前递交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文件的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人单位总数（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人不足两家可继续评选，且结果有效）；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3.2.3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现场展示并核查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保证金的缴纳情况；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3.2.4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密封情况检查：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申请人或者其推选的代表检查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文件的密封情况并确认；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3.2.5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当众打开竞投文件，公布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申请单位、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报价及内容；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 xml:space="preserve">4.评选 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4.1评选委员会的组成：由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西部（重庆）科学城沙兴实业发展集团有限公司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租赁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管理办法规定组成。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4.2公布限价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4.3本次评选办法：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采取最高价中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的办法。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4.4由评选委员会成员进行评选,价格最高者为中选人。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>5.中选公示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申请人在完成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之日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后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公示中选候选人，公示期不得少于3日。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>6.中选通知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未有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申请人的异议与投诉情况下，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人以书面形式向中选人发出中选通知书。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>7.签订合同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7.1 中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人应在中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之日起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0日内，根据本招租文件和中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人的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文件与招租单位订立书面租赁合同。中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人无正当理由拒签合同的，视为自动放弃中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，招租单位不退还中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人缴纳的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保证金，由此造成的一切后果概由该中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人负责。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7.2 若中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人放弃中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，中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候选人依次转为中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人并签订合同。</w:t>
      </w:r>
    </w:p>
    <w:bookmarkEnd w:id="21"/>
    <w:bookmarkEnd w:id="22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</w:pPr>
      <w:bookmarkStart w:id="23" w:name="_Toc245093817"/>
      <w:bookmarkStart w:id="24" w:name="_Toc200513178"/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szCs w:val="28"/>
          <w:highlight w:val="none"/>
        </w:rPr>
        <w:t>8.需要补充的其他内容</w:t>
      </w:r>
      <w:bookmarkEnd w:id="23"/>
      <w:bookmarkEnd w:id="24"/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8.1踏勘现场：本次采用现状招租，意向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人应自行到项目现场查看，凡参加竞标者都视同已经实地踏勘。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 xml:space="preserve">8.2 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人应在规定的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开标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时间前递交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文件。逾期送达的或者未送达指定地点的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文件，招租单位不予受理。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8.3 不退还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文件。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8.4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保证金退还。其他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人的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保证金于本次招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结束之日起30个工作日内退还（中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候选人的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eastAsia="zh-CN"/>
        </w:rPr>
        <w:t>竞租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保证金在中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选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人与招租单位签订租赁合同后退还）。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8.5 中选人在合同签订前应缴纳履约保证金，标准为合同最后一期月租金的三倍。</w:t>
      </w:r>
    </w:p>
    <w:p>
      <w:pPr>
        <w:keepNext w:val="0"/>
        <w:keepLines w:val="0"/>
        <w:pageBreakBefore w:val="0"/>
        <w:widowControl w:val="0"/>
        <w:tabs>
          <w:tab w:val="left" w:pos="5140"/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2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8.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若对招租文件内容有疑问，由</w:t>
      </w:r>
      <w:r>
        <w:rPr>
          <w:rFonts w:hint="eastAsia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  <w:lang w:val="en-US" w:eastAsia="zh-CN"/>
        </w:rPr>
        <w:t>西部（重庆）科学城沙兴实业发展集团有限公司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21"/>
          <w:szCs w:val="21"/>
          <w:highlight w:val="none"/>
        </w:rPr>
        <w:t>解答为准。</w:t>
      </w:r>
    </w:p>
    <w:p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bCs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附件1：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租赁报价单</w:t>
      </w:r>
    </w:p>
    <w:p>
      <w:pPr>
        <w:ind w:firstLine="1533" w:firstLineChars="347"/>
        <w:rPr>
          <w:rFonts w:hint="default" w:ascii="Times New Roman" w:hAnsi="Times New Roman" w:cs="Times New Roman"/>
          <w:b/>
          <w:color w:val="auto"/>
          <w:sz w:val="44"/>
          <w:szCs w:val="44"/>
          <w:highlight w:val="none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西部（重庆）科学城沙兴实业发展集团有限公司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：</w:t>
      </w:r>
    </w:p>
    <w:p>
      <w:pPr>
        <w:ind w:firstLine="705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有意向租赁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>沙坪坝区陈青路51号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，面积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>26㎡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。现根据周边情况和我（单位、个人）慎重考虑，对该房屋报价如下：</w:t>
      </w:r>
    </w:p>
    <w:p>
      <w:pPr>
        <w:ind w:firstLine="704" w:firstLineChars="22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房屋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价：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/㎡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/月，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总价为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元/月，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用途为: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</w:p>
    <w:p>
      <w:pPr>
        <w:ind w:firstLine="3580" w:firstLineChars="111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wordWrap w:val="0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报价单位(个人)：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>
      <w:pPr>
        <w:wordWrap w:val="0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wordWrap w:val="0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联系电话：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    </w:t>
      </w:r>
    </w:p>
    <w:p>
      <w:pPr>
        <w:pStyle w:val="13"/>
        <w:wordWrap w:val="0"/>
        <w:adjustRightInd w:val="0"/>
        <w:snapToGrid w:val="0"/>
        <w:spacing w:line="530" w:lineRule="exact"/>
        <w:ind w:left="0" w:leftChars="0" w:firstLine="0" w:firstLineChars="0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pStyle w:val="13"/>
        <w:wordWrap w:val="0"/>
        <w:adjustRightInd w:val="0"/>
        <w:snapToGrid w:val="0"/>
        <w:spacing w:line="530" w:lineRule="exact"/>
        <w:ind w:left="0" w:leftChars="0" w:firstLine="0" w:firstLineChars="0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   月   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  </w:t>
      </w:r>
    </w:p>
    <w:p>
      <w:pPr>
        <w:pStyle w:val="13"/>
        <w:adjustRightInd w:val="0"/>
        <w:snapToGrid w:val="0"/>
        <w:spacing w:line="530" w:lineRule="exact"/>
        <w:ind w:left="0" w:leftChars="0" w:firstLine="0" w:firstLineChars="0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附件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：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u w:val="single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u w:val="single"/>
          <w:lang w:val="en-US" w:eastAsia="zh-CN"/>
        </w:rPr>
        <w:t>沙坪坝区陈青路51号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房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屋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租赁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评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选竞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租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签到表</w:t>
      </w:r>
    </w:p>
    <w:p>
      <w:pPr>
        <w:spacing w:line="560" w:lineRule="exact"/>
        <w:jc w:val="center"/>
        <w:rPr>
          <w:rFonts w:hint="default" w:ascii="Times New Roman" w:hAnsi="Times New Roman" w:cs="Times New Roman"/>
          <w:color w:val="auto"/>
          <w:szCs w:val="32"/>
          <w:highlight w:val="none"/>
        </w:rPr>
      </w:pPr>
    </w:p>
    <w:tbl>
      <w:tblPr>
        <w:tblStyle w:val="10"/>
        <w:tblpPr w:leftFromText="180" w:rightFromText="180" w:vertAnchor="text" w:horzAnchor="page" w:tblpXSpec="center" w:tblpY="576"/>
        <w:tblOverlap w:val="never"/>
        <w:tblW w:w="103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116"/>
        <w:gridCol w:w="1560"/>
        <w:gridCol w:w="1461"/>
        <w:gridCol w:w="867"/>
        <w:gridCol w:w="1788"/>
        <w:gridCol w:w="2224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672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竞</w:t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  <w:lang w:val="en-US" w:eastAsia="zh-CN"/>
              </w:rPr>
              <w:t>租</w:t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单位或个人名称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法定代表人或授权代理人签字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法定代表人或授权代理人身份证号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  <w:lang w:eastAsia="zh-CN"/>
              </w:rPr>
              <w:t>竞租</w:t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文件</w:t>
            </w:r>
          </w:p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密封状况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  <w:lang w:eastAsia="zh-CN"/>
              </w:rPr>
              <w:t>竞租</w:t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文件</w:t>
            </w:r>
          </w:p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送达时间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672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snapToGrid w:val="0"/>
              <w:spacing w:line="56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年 月 日 时 分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672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snapToGrid w:val="0"/>
              <w:spacing w:line="56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年 月 日 时 分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672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snapToGrid w:val="0"/>
              <w:spacing w:line="56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年 月 日 时 分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附件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：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u w:val="single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u w:val="single"/>
          <w:lang w:val="en-US" w:eastAsia="zh-CN"/>
        </w:rPr>
        <w:t>沙坪坝区陈青路51号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房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屋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租赁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评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选小组签到表</w:t>
      </w:r>
    </w:p>
    <w:p>
      <w:pPr>
        <w:snapToGrid w:val="0"/>
        <w:spacing w:line="560" w:lineRule="exact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</w:p>
    <w:tbl>
      <w:tblPr>
        <w:tblStyle w:val="10"/>
        <w:tblpPr w:leftFromText="180" w:rightFromText="180" w:vertAnchor="text" w:horzAnchor="page" w:tblpX="1926" w:tblpY="120"/>
        <w:tblOverlap w:val="never"/>
        <w:tblW w:w="86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758"/>
        <w:gridCol w:w="1680"/>
        <w:gridCol w:w="1884"/>
        <w:gridCol w:w="1260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985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成员姓名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签到时间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85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8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84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44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85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8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84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44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85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8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84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44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85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8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84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44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85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8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84" w:type="dxa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44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85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8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84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44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85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8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84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44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85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8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84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44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85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58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84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44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>
      <w:pPr>
        <w:pStyle w:val="9"/>
        <w:ind w:firstLine="210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9"/>
        <w:ind w:firstLine="210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9"/>
        <w:ind w:firstLine="210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9"/>
        <w:ind w:firstLine="210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附件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：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>沙坪坝区陈青路51号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</w:rPr>
        <w:t>房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  <w:t>屋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</w:rPr>
        <w:t>租赁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highlight w:val="none"/>
          <w:lang w:val="en-US" w:eastAsia="zh-CN"/>
        </w:rPr>
        <w:t>评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highlight w:val="none"/>
        </w:rPr>
        <w:t>选资格审查评审表</w:t>
      </w:r>
    </w:p>
    <w:p>
      <w:pPr>
        <w:snapToGrid w:val="0"/>
        <w:spacing w:line="560" w:lineRule="exact"/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</w:rPr>
        <w:t>评审时间：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</w:rPr>
        <w:t>年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</w:rPr>
        <w:t>月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</w:rPr>
        <w:t>日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</w:rPr>
        <w:t xml:space="preserve"> 评审地点：</w:t>
      </w:r>
    </w:p>
    <w:tbl>
      <w:tblPr>
        <w:tblStyle w:val="10"/>
        <w:tblW w:w="9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309"/>
        <w:gridCol w:w="1784"/>
        <w:gridCol w:w="1909"/>
        <w:gridCol w:w="1465"/>
        <w:gridCol w:w="772"/>
        <w:gridCol w:w="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684" w:type="dxa"/>
            <w:vMerge w:val="restart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309" w:type="dxa"/>
            <w:vMerge w:val="restart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竞</w:t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  <w:lang w:val="en-US" w:eastAsia="zh-CN"/>
              </w:rPr>
              <w:t>租</w:t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5158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评</w:t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  <w:lang w:val="en-US" w:eastAsia="zh-CN"/>
              </w:rPr>
              <w:t>选</w:t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标准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是否合格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684" w:type="dxa"/>
            <w:vMerge w:val="continue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09" w:type="dxa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身份证复印件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  <w:lang w:val="en-US" w:eastAsia="zh-CN"/>
              </w:rPr>
              <w:t>营业执照复印件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color w:val="auto"/>
                <w:sz w:val="24"/>
                <w:highlight w:val="none"/>
                <w:lang w:val="en-US" w:eastAsia="zh-CN"/>
              </w:rPr>
              <w:t>竞租保证金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84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4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84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2309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84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09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65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84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09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84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09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84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309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65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>
      <w:pPr>
        <w:snapToGrid w:val="0"/>
        <w:spacing w:line="560" w:lineRule="exac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评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 xml:space="preserve">选人员：                            </w:t>
      </w:r>
    </w:p>
    <w:p>
      <w:pPr>
        <w:snapToGrid w:val="0"/>
        <w:spacing w:line="560" w:lineRule="exac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 xml:space="preserve">监督人员：                         </w:t>
      </w:r>
    </w:p>
    <w:p>
      <w:pPr>
        <w:pStyle w:val="13"/>
        <w:adjustRightInd w:val="0"/>
        <w:snapToGrid w:val="0"/>
        <w:spacing w:line="530" w:lineRule="exact"/>
        <w:ind w:firstLine="0" w:firstLineChars="0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z w:val="28"/>
          <w:szCs w:val="32"/>
          <w:highlight w:val="none"/>
        </w:rPr>
        <w:t>备注：评审标准细项可根据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32"/>
          <w:highlight w:val="none"/>
          <w:lang w:val="en-US" w:eastAsia="zh-CN"/>
        </w:rPr>
        <w:t>评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32"/>
          <w:highlight w:val="none"/>
        </w:rPr>
        <w:t>选方案、文件、评标办法等添加或删减。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 xml:space="preserve">     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附件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：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>沙坪坝区陈青路51号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</w:rPr>
        <w:t>房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  <w:t>屋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</w:rPr>
        <w:t>租赁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记录表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方正黑体_GBK" w:cs="Times New Roman"/>
          <w:color w:val="auto"/>
          <w:sz w:val="36"/>
          <w:szCs w:val="36"/>
          <w:highlight w:val="none"/>
        </w:rPr>
      </w:pPr>
    </w:p>
    <w:tbl>
      <w:tblPr>
        <w:tblStyle w:val="10"/>
        <w:tblW w:w="98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993"/>
        <w:gridCol w:w="1217"/>
        <w:gridCol w:w="1923"/>
        <w:gridCol w:w="1859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5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993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竞</w:t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  <w:lang w:val="en-US" w:eastAsia="zh-CN"/>
              </w:rPr>
              <w:t>租</w:t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  <w:lang w:eastAsia="zh-CN"/>
              </w:rPr>
              <w:t>竞租</w:t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文件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报  价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竞</w:t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  <w:lang w:val="en-US" w:eastAsia="zh-CN"/>
              </w:rPr>
              <w:t>租</w:t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单位法定代表人或授权代理人签字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56" w:type="dxa"/>
            <w:vMerge w:val="restart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993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snapToGrid w:val="0"/>
              <w:spacing w:line="560" w:lineRule="exact"/>
              <w:ind w:firstLine="240" w:firstLine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59" w:type="dxa"/>
            <w:noWrap w:val="0"/>
            <w:vAlign w:val="center"/>
          </w:tcPr>
          <w:p>
            <w:pPr>
              <w:snapToGrid w:val="0"/>
              <w:spacing w:line="56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93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59" w:type="dxa"/>
            <w:noWrap w:val="0"/>
            <w:vAlign w:val="center"/>
          </w:tcPr>
          <w:p>
            <w:pPr>
              <w:snapToGrid w:val="0"/>
              <w:spacing w:line="56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56" w:type="dxa"/>
            <w:vMerge w:val="restart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2993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59" w:type="dxa"/>
            <w:noWrap w:val="0"/>
            <w:vAlign w:val="center"/>
          </w:tcPr>
          <w:p>
            <w:pPr>
              <w:snapToGrid w:val="0"/>
              <w:spacing w:line="56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56" w:type="dxa"/>
            <w:vMerge w:val="continue"/>
            <w:noWrap w:val="0"/>
            <w:vAlign w:val="top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93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59" w:type="dxa"/>
            <w:noWrap w:val="0"/>
            <w:vAlign w:val="top"/>
          </w:tcPr>
          <w:p>
            <w:pPr>
              <w:snapToGrid w:val="0"/>
              <w:spacing w:line="560" w:lineRule="exact"/>
              <w:ind w:firstLine="120" w:firstLineChars="5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56" w:type="dxa"/>
            <w:vMerge w:val="restart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2993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23" w:type="dxa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59" w:type="dxa"/>
            <w:noWrap w:val="0"/>
            <w:vAlign w:val="top"/>
          </w:tcPr>
          <w:p>
            <w:pPr>
              <w:snapToGrid w:val="0"/>
              <w:spacing w:line="560" w:lineRule="exact"/>
              <w:ind w:firstLine="120" w:firstLineChars="5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56" w:type="dxa"/>
            <w:vMerge w:val="continue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93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59" w:type="dxa"/>
            <w:noWrap w:val="0"/>
            <w:vAlign w:val="top"/>
          </w:tcPr>
          <w:p>
            <w:pPr>
              <w:snapToGrid w:val="0"/>
              <w:spacing w:line="560" w:lineRule="exact"/>
              <w:ind w:firstLine="120" w:firstLineChars="5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56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93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59" w:type="dxa"/>
            <w:noWrap w:val="0"/>
            <w:vAlign w:val="top"/>
          </w:tcPr>
          <w:p>
            <w:pPr>
              <w:snapToGrid w:val="0"/>
              <w:spacing w:line="560" w:lineRule="exact"/>
              <w:ind w:firstLine="120" w:firstLineChars="5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16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>
      <w:pPr>
        <w:pStyle w:val="13"/>
        <w:adjustRightInd w:val="0"/>
        <w:snapToGrid w:val="0"/>
        <w:spacing w:line="530" w:lineRule="exact"/>
        <w:ind w:firstLine="240" w:firstLineChars="100"/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lang w:val="en-US" w:eastAsia="zh-CN"/>
        </w:rPr>
        <w:t>评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  <w:t>选小组：       唱标人：     拆封人：    记录人：       监督人员：</w:t>
      </w:r>
    </w:p>
    <w:p>
      <w:pPr>
        <w:pStyle w:val="9"/>
        <w:ind w:firstLine="210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 xml:space="preserve">                                          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  </w:t>
      </w:r>
    </w:p>
    <w:p>
      <w:pPr>
        <w:pStyle w:val="9"/>
        <w:ind w:firstLine="210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9"/>
        <w:ind w:firstLine="210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9"/>
        <w:ind w:firstLine="210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pStyle w:val="13"/>
        <w:adjustRightInd w:val="0"/>
        <w:snapToGrid w:val="0"/>
        <w:spacing w:line="530" w:lineRule="exact"/>
        <w:ind w:left="0" w:leftChars="0" w:firstLine="0" w:firstLineChars="0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附件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：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>沙坪坝区陈青路51号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</w:rPr>
        <w:t>房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  <w:t>屋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</w:rPr>
        <w:t>租赁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评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选结果汇总表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Cs w:val="32"/>
          <w:highlight w:val="none"/>
        </w:rPr>
      </w:pPr>
    </w:p>
    <w:p>
      <w:pPr>
        <w:snapToGrid w:val="0"/>
        <w:spacing w:line="560" w:lineRule="exact"/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</w:rPr>
        <w:t>汇总时间：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</w:rPr>
        <w:t>年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</w:rPr>
        <w:t>月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</w:rPr>
        <w:t>日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1"/>
          <w:highlight w:val="none"/>
        </w:rPr>
        <w:t xml:space="preserve"> 评审地点：</w:t>
      </w:r>
    </w:p>
    <w:tbl>
      <w:tblPr>
        <w:tblStyle w:val="10"/>
        <w:tblW w:w="90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108"/>
        <w:gridCol w:w="2700"/>
        <w:gridCol w:w="2731"/>
        <w:gridCol w:w="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竞</w:t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  <w:lang w:val="en-US" w:eastAsia="zh-CN"/>
              </w:rPr>
              <w:t>租</w:t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  <w:lang w:val="en-US" w:eastAsia="zh-CN"/>
              </w:rPr>
              <w:t>报价</w:t>
            </w: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中选候选人顺序（前3）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color w:val="auto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spacing w:line="56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31" w:type="dxa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napToGrid w:val="0"/>
              <w:spacing w:line="560" w:lineRule="exact"/>
              <w:ind w:firstLine="120" w:firstLineChars="5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31" w:type="dxa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0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napToGrid w:val="0"/>
              <w:spacing w:line="560" w:lineRule="exact"/>
              <w:ind w:firstLine="120" w:firstLineChars="5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731" w:type="dxa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>
      <w:pPr>
        <w:snapToGrid w:val="0"/>
        <w:spacing w:line="560" w:lineRule="exac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lang w:val="en-US" w:eastAsia="zh-CN"/>
        </w:rPr>
        <w:t>评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 xml:space="preserve">选人员：                            </w:t>
      </w:r>
    </w:p>
    <w:p>
      <w:pPr>
        <w:snapToGrid w:val="0"/>
        <w:spacing w:line="560" w:lineRule="exac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 xml:space="preserve">监督人员：                         </w:t>
      </w:r>
    </w:p>
    <w:p>
      <w:pPr>
        <w:spacing w:line="560" w:lineRule="exact"/>
        <w:rPr>
          <w:rFonts w:hint="default" w:ascii="Times New Roman" w:hAnsi="Times New Roman" w:eastAsia="方正楷体_GBK" w:cs="Times New Roman"/>
          <w:color w:val="auto"/>
          <w:sz w:val="28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z w:val="28"/>
          <w:szCs w:val="32"/>
          <w:highlight w:val="none"/>
        </w:rPr>
        <w:t>备注：此表可根据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32"/>
          <w:highlight w:val="none"/>
          <w:lang w:val="en-US" w:eastAsia="zh-CN"/>
        </w:rPr>
        <w:t>评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32"/>
          <w:highlight w:val="none"/>
        </w:rPr>
        <w:t>选方案、文件、评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32"/>
          <w:highlight w:val="none"/>
          <w:lang w:val="en-US" w:eastAsia="zh-CN"/>
        </w:rPr>
        <w:t>选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32"/>
          <w:highlight w:val="none"/>
        </w:rPr>
        <w:t>办法等添加或删减。</w:t>
      </w:r>
    </w:p>
    <w:p>
      <w:pPr>
        <w:spacing w:line="560" w:lineRule="exact"/>
        <w:rPr>
          <w:rFonts w:hint="default" w:ascii="Times New Roman" w:hAnsi="Times New Roman" w:eastAsia="方正楷体_GBK" w:cs="Times New Roman"/>
          <w:color w:val="auto"/>
          <w:sz w:val="28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780" w:firstLineChars="21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9513F"/>
    <w:rsid w:val="168C3A6E"/>
    <w:rsid w:val="1C57207B"/>
    <w:rsid w:val="1E822485"/>
    <w:rsid w:val="273464D6"/>
    <w:rsid w:val="2D4A6FCC"/>
    <w:rsid w:val="3B967B94"/>
    <w:rsid w:val="40AF2AC1"/>
    <w:rsid w:val="4A6917D6"/>
    <w:rsid w:val="4C9950EF"/>
    <w:rsid w:val="51B3015D"/>
    <w:rsid w:val="5AC97AED"/>
    <w:rsid w:val="5D7A1F47"/>
    <w:rsid w:val="5DA93022"/>
    <w:rsid w:val="5E876C0D"/>
    <w:rsid w:val="5E9018BA"/>
    <w:rsid w:val="66A76DAE"/>
    <w:rsid w:val="6EA16431"/>
    <w:rsid w:val="6F961948"/>
    <w:rsid w:val="706C7D15"/>
    <w:rsid w:val="7A4E103B"/>
    <w:rsid w:val="7FE8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jc w:val="left"/>
      <w:outlineLvl w:val="1"/>
    </w:pPr>
    <w:rPr>
      <w:rFonts w:ascii="仿宋_GB2312" w:eastAsia="仿宋_GB2312" w:cs="MingLiU"/>
      <w:b/>
      <w:spacing w:val="1"/>
      <w:w w:val="99"/>
      <w:kern w:val="0"/>
      <w:sz w:val="28"/>
      <w:szCs w:val="32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5">
    <w:name w:val="index 7"/>
    <w:basedOn w:val="1"/>
    <w:next w:val="1"/>
    <w:qFormat/>
    <w:uiPriority w:val="0"/>
    <w:pPr>
      <w:ind w:left="2520"/>
    </w:pPr>
  </w:style>
  <w:style w:type="paragraph" w:styleId="6">
    <w:name w:val="footer"/>
    <w:basedOn w:val="1"/>
    <w:next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索引 51"/>
    <w:basedOn w:val="1"/>
    <w:next w:val="1"/>
    <w:qFormat/>
    <w:uiPriority w:val="0"/>
    <w:pPr>
      <w:ind w:left="1680"/>
    </w:p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"/>
    <w:basedOn w:val="4"/>
    <w:unhideWhenUsed/>
    <w:qFormat/>
    <w:uiPriority w:val="0"/>
    <w:pPr>
      <w:widowControl w:val="0"/>
      <w:ind w:firstLine="420" w:firstLineChars="100"/>
      <w:jc w:val="both"/>
    </w:pPr>
    <w:rPr>
      <w:rFonts w:ascii="Times New Roman" w:hAnsi="Times New Roman" w:eastAsia="宋体" w:cs="Times New Roman"/>
      <w:sz w:val="30"/>
      <w:lang w:val="en-US" w:eastAsia="zh-CN" w:bidi="ar-SA"/>
    </w:rPr>
  </w:style>
  <w:style w:type="paragraph" w:customStyle="1" w:styleId="12">
    <w:name w:val="Default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  <w:rPr>
      <w:rFonts w:ascii="Calibri" w:hAnsi="Calibri" w:eastAsia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2023-08-17T09:02:00Z</dcterms:created>
  <dc:creator>admin</dc:creator>
  <cp:lastModifiedBy>admin</cp:lastModifiedBy>
  <cp:lastPrinted>2026-02-24T01:28:00Z</cp:lastPrinted>
  <dcterms:modified xsi:type="dcterms:W3CDTF">2026-02-27T01:47:45Z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7DE0AFB1EE174C39B2AAABF692B5724A_12</vt:lpwstr>
  </property>
</Properties>
</file>