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lang w:val="en-US"/>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工人村64号</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0"/>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0"/>
          <w:highlight w:val="none"/>
          <w:u w:val="single"/>
          <w:lang w:val="en-US" w:eastAsia="zh-CN"/>
        </w:rPr>
        <w:t>西部（重庆）科学城沙兴实业发展集团有限公司</w:t>
      </w:r>
      <w:r>
        <w:rPr>
          <w:rFonts w:hint="default" w:ascii="Times New Roman" w:hAnsi="Times New Roman" w:cs="Times New Roman"/>
          <w:b/>
          <w:color w:val="auto"/>
          <w:kern w:val="0"/>
          <w:sz w:val="20"/>
          <w:highlight w:val="none"/>
          <w:u w:val="single"/>
          <w:lang w:eastAsia="zh-CN"/>
        </w:rPr>
        <w:t xml:space="preserve">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7756CF7B">
      <w:pPr>
        <w:autoSpaceDE w:val="0"/>
        <w:autoSpaceDN w:val="0"/>
        <w:adjustRightInd w:val="0"/>
        <w:snapToGrid w:val="0"/>
        <w:spacing w:line="360" w:lineRule="auto"/>
        <w:jc w:val="left"/>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工人村64号</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238"/>
      <w:bookmarkStart w:id="1" w:name="_Toc245093758"/>
      <w:bookmarkStart w:id="2" w:name="_Toc200359427"/>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00359428"/>
      <w:bookmarkStart w:id="4" w:name="_Toc245093759"/>
      <w:bookmarkStart w:id="5" w:name="_Toc200359239"/>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autoSpaceDE w:val="0"/>
        <w:autoSpaceDN w:val="0"/>
        <w:adjustRightInd w:val="0"/>
        <w:snapToGrid w:val="0"/>
        <w:spacing w:line="360" w:lineRule="auto"/>
        <w:jc w:val="left"/>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工人村64号</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64.98</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autoSpaceDE w:val="0"/>
        <w:autoSpaceDN w:val="0"/>
        <w:adjustRightInd w:val="0"/>
        <w:snapToGrid w:val="0"/>
        <w:spacing w:line="360" w:lineRule="auto"/>
        <w:jc w:val="left"/>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2026年2月9</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Cs/>
          <w:color w:val="auto"/>
          <w:sz w:val="21"/>
          <w:szCs w:val="21"/>
          <w:highlight w:val="none"/>
          <w:u w:val="single"/>
          <w:lang w:val="en-US" w:eastAsia="zh-CN"/>
        </w:rPr>
        <w:t>1300</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bCs/>
          <w:color w:val="auto"/>
          <w:sz w:val="21"/>
          <w:szCs w:val="21"/>
          <w:highlight w:val="none"/>
          <w:u w:val="single"/>
          <w:lang w:val="en-US" w:eastAsia="zh-CN"/>
        </w:rPr>
        <w:t>工人村64号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430"/>
      <w:bookmarkStart w:id="11" w:name="_Toc200359241"/>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45093763"/>
      <w:bookmarkStart w:id="13" w:name="_Toc200359432"/>
      <w:bookmarkStart w:id="14" w:name="_Toc200359243"/>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45093784"/>
      <w:bookmarkStart w:id="18" w:name="_Toc20051314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45093785"/>
      <w:bookmarkStart w:id="20" w:name="_Toc20051314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64.98</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1300</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45093786"/>
      <w:bookmarkStart w:id="22" w:name="_Toc20051314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bCs/>
          <w:color w:val="auto"/>
          <w:sz w:val="21"/>
          <w:szCs w:val="21"/>
          <w:highlight w:val="none"/>
          <w:u w:val="single"/>
          <w:lang w:val="en-US" w:eastAsia="zh-CN"/>
        </w:rPr>
        <w:t>工人村64号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2</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2026</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w:t>
      </w:r>
      <w:bookmarkStart w:id="25" w:name="_GoBack"/>
      <w:bookmarkEnd w:id="25"/>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9时40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b w:val="0"/>
          <w:bCs w:val="0"/>
          <w:color w:val="auto"/>
          <w:sz w:val="32"/>
          <w:szCs w:val="32"/>
          <w:highlight w:val="none"/>
          <w:u w:val="none"/>
          <w:lang w:val="en-US" w:eastAsia="zh-CN"/>
        </w:rPr>
      </w:pPr>
      <w:r>
        <w:rPr>
          <w:rFonts w:hint="eastAsia" w:ascii="Times New Roman" w:hAnsi="Times New Roman" w:cs="Times New Roman"/>
          <w:b w:val="0"/>
          <w:bCs w:val="0"/>
          <w:color w:val="auto"/>
          <w:sz w:val="32"/>
          <w:szCs w:val="32"/>
          <w:highlight w:val="none"/>
          <w:u w:val="none"/>
          <w:lang w:val="en-US" w:eastAsia="zh-CN"/>
        </w:rPr>
        <w:t>西部（重庆）科学城沙兴实业发展集团有限公司</w:t>
      </w:r>
      <w:r>
        <w:rPr>
          <w:rFonts w:hint="default" w:ascii="Times New Roman" w:hAnsi="Times New Roman" w:cs="Times New Roman"/>
          <w:b w:val="0"/>
          <w:bCs w:val="0"/>
          <w:color w:val="auto"/>
          <w:sz w:val="32"/>
          <w:szCs w:val="32"/>
          <w:highlight w:val="none"/>
          <w:u w:val="none"/>
          <w:lang w:val="en-US"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工人村64号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64.98</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5CE66BB4">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工人村64号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竞</w:t>
      </w:r>
      <w:r>
        <w:rPr>
          <w:rFonts w:hint="default" w:ascii="Times New Roman" w:hAnsi="Times New Roman" w:eastAsia="方正小标宋_GBK" w:cs="Times New Roman"/>
          <w:color w:val="auto"/>
          <w:sz w:val="44"/>
          <w:szCs w:val="44"/>
          <w:highlight w:val="none"/>
          <w:lang w:val="en-US" w:eastAsia="zh-CN"/>
        </w:rPr>
        <w:t>租</w:t>
      </w: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7CDB0ED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工人村64号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小组签到表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工人村64号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工人村64号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工人村64号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u w:val="single"/>
          <w:lang w:val="en-US" w:eastAsia="zh-CN"/>
        </w:rPr>
        <w:t>工人村64号</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b/>
                <w:bCs/>
                <w:color w:val="auto"/>
                <w:sz w:val="21"/>
                <w:szCs w:val="21"/>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tc>
      </w:tr>
      <w:tr w14:paraId="2CD032BD">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工人村64号</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西部（重庆）科学城沙兴实业发展集团有限公司</w:t>
      </w:r>
      <w:r>
        <w:rPr>
          <w:rFonts w:hint="eastAsia" w:ascii="宋体" w:hAnsi="宋体" w:eastAsia="宋体" w:cs="宋体"/>
          <w:color w:val="auto"/>
          <w:sz w:val="24"/>
          <w:szCs w:val="24"/>
          <w:highlight w:val="non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工人村64号</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64.98</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考虑到租赁标的特殊性，在租赁期间，甲方若出售该房屋，乙方承诺放弃自身优先购买权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甲方如将租赁房屋所有权转让给第三方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应告知第三方房屋租赁情况</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考虑到租赁标的特殊性，在租赁期限届满，甲方若出租该房屋，乙方承诺放弃自身优先承租权。</w:t>
      </w:r>
    </w:p>
    <w:p w14:paraId="19F5E4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Fonts w:hint="eastAsia" w:ascii="宋体" w:hAnsi="宋体" w:eastAsia="宋体" w:cs="宋体"/>
          <w:color w:val="auto"/>
          <w:kern w:val="2"/>
          <w:sz w:val="24"/>
          <w:szCs w:val="24"/>
          <w:highlight w:val="none"/>
          <w:lang w:val="en-US" w:eastAsia="zh-CN" w:bidi="ar-SA"/>
        </w:rPr>
        <w:t>合同剩余租赁期限占合同租期的比例补交超额享受的免租期租金（计算方式：</w:t>
      </w:r>
      <w:r>
        <w:rPr>
          <w:rFonts w:hint="eastAsia" w:ascii="宋体" w:hAnsi="宋体" w:eastAsia="宋体" w:cs="宋体"/>
          <w:i w:val="0"/>
          <w:iCs w:val="0"/>
          <w:caps w:val="0"/>
          <w:color w:val="auto"/>
          <w:spacing w:val="0"/>
          <w:sz w:val="24"/>
          <w:szCs w:val="24"/>
          <w:highlight w:val="none"/>
          <w:shd w:val="clear" w:color="auto" w:fill="FFFFFF"/>
        </w:rPr>
        <w:t>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8A0A77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000000"/>
                <w:sz w:val="21"/>
                <w:szCs w:val="21"/>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20FD029">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7691EA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91500106MA5UMTGM44</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78520180801676226</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023-65037129</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77BF147D">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7F3CE19A">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sz w:val="21"/>
                <w:szCs w:val="21"/>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2F8227A4">
            <w:pPr>
              <w:widowControl/>
              <w:spacing w:line="240" w:lineRule="exact"/>
              <w:rPr>
                <w:rFonts w:hint="eastAsia" w:ascii="宋体" w:hAnsi="宋体" w:eastAsia="宋体" w:cs="宋体"/>
                <w:bCs/>
                <w:sz w:val="21"/>
                <w:szCs w:val="21"/>
              </w:rPr>
            </w:pPr>
          </w:p>
          <w:p w14:paraId="3EAEDE88">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5D8993BC">
            <w:pPr>
              <w:widowControl/>
              <w:spacing w:line="240" w:lineRule="exact"/>
              <w:rPr>
                <w:rFonts w:hint="eastAsia" w:ascii="宋体" w:hAnsi="宋体" w:eastAsia="宋体" w:cs="宋体"/>
                <w:bCs/>
                <w:sz w:val="21"/>
                <w:szCs w:val="21"/>
              </w:rPr>
            </w:pPr>
          </w:p>
          <w:p w14:paraId="6D657987">
            <w:pPr>
              <w:widowControl/>
              <w:spacing w:line="240" w:lineRule="exact"/>
              <w:rPr>
                <w:rFonts w:hint="eastAsia" w:ascii="宋体" w:hAnsi="宋体" w:eastAsia="宋体" w:cs="宋体"/>
                <w:bCs/>
                <w:sz w:val="21"/>
                <w:szCs w:val="21"/>
              </w:rPr>
            </w:pPr>
          </w:p>
          <w:p w14:paraId="5A8BDE08">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4D3BDB55">
            <w:pPr>
              <w:widowControl/>
              <w:spacing w:line="240" w:lineRule="exact"/>
              <w:rPr>
                <w:rFonts w:hint="eastAsia" w:ascii="宋体" w:hAnsi="宋体" w:eastAsia="宋体" w:cs="宋体"/>
                <w:bCs/>
                <w:sz w:val="21"/>
                <w:szCs w:val="21"/>
              </w:rPr>
            </w:pPr>
          </w:p>
          <w:p w14:paraId="44F5C9FC">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20B67725">
            <w:pPr>
              <w:widowControl/>
              <w:spacing w:line="240" w:lineRule="exact"/>
              <w:rPr>
                <w:rFonts w:hint="eastAsia" w:ascii="宋体" w:hAnsi="宋体" w:eastAsia="宋体" w:cs="宋体"/>
                <w:bCs/>
                <w:sz w:val="21"/>
                <w:szCs w:val="21"/>
              </w:rPr>
            </w:pPr>
          </w:p>
          <w:p w14:paraId="6CD8848C">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sz w:val="21"/>
                <w:szCs w:val="21"/>
              </w:rPr>
              <w:t>签署日期：     年   月   日</w:t>
            </w:r>
          </w:p>
        </w:tc>
      </w:tr>
    </w:tbl>
    <w:p w14:paraId="7E77A7A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2024"/>
        <w:gridCol w:w="496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1E4839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基本信息</w:t>
            </w:r>
          </w:p>
        </w:tc>
        <w:tc>
          <w:tcPr>
            <w:tcW w:w="202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lang w:val="en-US" w:eastAsia="zh-CN"/>
              </w:rPr>
              <w:t>联系地址</w:t>
            </w:r>
          </w:p>
        </w:tc>
        <w:tc>
          <w:tcPr>
            <w:tcW w:w="496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联 系 人</w:t>
            </w:r>
          </w:p>
        </w:tc>
        <w:tc>
          <w:tcPr>
            <w:tcW w:w="496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电    话</w:t>
            </w:r>
          </w:p>
        </w:tc>
        <w:tc>
          <w:tcPr>
            <w:tcW w:w="496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邮    箱</w:t>
            </w:r>
          </w:p>
        </w:tc>
        <w:tc>
          <w:tcPr>
            <w:tcW w:w="496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110966C">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开票信息</w:t>
            </w:r>
          </w:p>
        </w:tc>
        <w:tc>
          <w:tcPr>
            <w:tcW w:w="202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户    名</w:t>
            </w:r>
          </w:p>
        </w:tc>
        <w:tc>
          <w:tcPr>
            <w:tcW w:w="496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color w:val="auto"/>
                <w:sz w:val="21"/>
                <w:szCs w:val="21"/>
                <w:highlight w:val="none"/>
              </w:rPr>
            </w:pPr>
          </w:p>
        </w:tc>
        <w:tc>
          <w:tcPr>
            <w:tcW w:w="2024" w:type="dxa"/>
            <w:vMerge w:val="restart"/>
            <w:tcBorders>
              <w:top w:val="nil"/>
              <w:left w:val="nil"/>
              <w:bottom w:val="nil"/>
              <w:right w:val="nil"/>
            </w:tcBorders>
            <w:noWrap w:val="0"/>
            <w:vAlign w:val="center"/>
          </w:tcPr>
          <w:p w14:paraId="545BFA9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增值税一般纳税人</w:t>
            </w:r>
          </w:p>
        </w:tc>
        <w:tc>
          <w:tcPr>
            <w:tcW w:w="496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color w:val="auto"/>
                <w:sz w:val="21"/>
                <w:szCs w:val="21"/>
                <w:highlight w:val="none"/>
              </w:rPr>
            </w:pPr>
          </w:p>
        </w:tc>
        <w:tc>
          <w:tcPr>
            <w:tcW w:w="202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Cs/>
                <w:color w:val="auto"/>
                <w:sz w:val="21"/>
                <w:szCs w:val="21"/>
                <w:highlight w:val="none"/>
              </w:rPr>
            </w:pPr>
          </w:p>
        </w:tc>
        <w:tc>
          <w:tcPr>
            <w:tcW w:w="496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纳税人识别号</w:t>
            </w:r>
          </w:p>
        </w:tc>
        <w:tc>
          <w:tcPr>
            <w:tcW w:w="496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91500106MA5UMTGM44</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96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开户银行</w:t>
            </w:r>
          </w:p>
        </w:tc>
        <w:tc>
          <w:tcPr>
            <w:tcW w:w="496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账    号</w:t>
            </w:r>
          </w:p>
        </w:tc>
        <w:tc>
          <w:tcPr>
            <w:tcW w:w="496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78520180801676226</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96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023-65037129</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2B2D1813">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45754E8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sz w:val="21"/>
                <w:szCs w:val="21"/>
              </w:rPr>
              <w:t>盖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2CAA00B9">
            <w:pPr>
              <w:widowControl/>
              <w:spacing w:line="240" w:lineRule="exact"/>
              <w:rPr>
                <w:rFonts w:hint="eastAsia" w:ascii="宋体" w:hAnsi="宋体" w:eastAsia="宋体" w:cs="宋体"/>
                <w:bCs/>
                <w:sz w:val="21"/>
                <w:szCs w:val="21"/>
              </w:rPr>
            </w:pPr>
          </w:p>
          <w:p w14:paraId="09BBA1FE">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3FFDA546">
            <w:pPr>
              <w:widowControl/>
              <w:spacing w:line="240" w:lineRule="exact"/>
              <w:rPr>
                <w:rFonts w:hint="eastAsia" w:ascii="宋体" w:hAnsi="宋体" w:eastAsia="宋体" w:cs="宋体"/>
                <w:bCs/>
                <w:sz w:val="21"/>
                <w:szCs w:val="21"/>
              </w:rPr>
            </w:pPr>
          </w:p>
          <w:p w14:paraId="02464DEB">
            <w:pPr>
              <w:widowControl/>
              <w:spacing w:line="240" w:lineRule="exact"/>
              <w:rPr>
                <w:rFonts w:hint="eastAsia" w:ascii="宋体" w:hAnsi="宋体" w:eastAsia="宋体" w:cs="宋体"/>
                <w:bCs/>
                <w:sz w:val="21"/>
                <w:szCs w:val="21"/>
              </w:rPr>
            </w:pPr>
          </w:p>
          <w:p w14:paraId="76E8A062">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7A120B55">
            <w:pPr>
              <w:widowControl/>
              <w:spacing w:line="240" w:lineRule="exact"/>
              <w:rPr>
                <w:rFonts w:hint="eastAsia" w:ascii="宋体" w:hAnsi="宋体" w:eastAsia="宋体" w:cs="宋体"/>
                <w:bCs/>
                <w:sz w:val="21"/>
                <w:szCs w:val="21"/>
              </w:rPr>
            </w:pPr>
          </w:p>
          <w:p w14:paraId="56ABD797">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677F04EC">
            <w:pPr>
              <w:widowControl/>
              <w:spacing w:line="240" w:lineRule="exact"/>
              <w:rPr>
                <w:rFonts w:hint="eastAsia" w:ascii="宋体" w:hAnsi="宋体" w:eastAsia="宋体" w:cs="宋体"/>
                <w:bCs/>
                <w:sz w:val="21"/>
                <w:szCs w:val="21"/>
              </w:rPr>
            </w:pPr>
          </w:p>
          <w:p w14:paraId="05ED7D75">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sz w:val="21"/>
                <w:szCs w:val="21"/>
              </w:rPr>
              <w:t>签署日期：     年   月   日</w:t>
            </w:r>
          </w:p>
        </w:tc>
      </w:tr>
    </w:tbl>
    <w:p w14:paraId="53EDE223">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工人村64号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7E44C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1315"/>
    <w:rsid w:val="051D705F"/>
    <w:rsid w:val="08F26A8C"/>
    <w:rsid w:val="17940964"/>
    <w:rsid w:val="1AE047FC"/>
    <w:rsid w:val="26877C1C"/>
    <w:rsid w:val="36D42825"/>
    <w:rsid w:val="43895FD6"/>
    <w:rsid w:val="468C72C9"/>
    <w:rsid w:val="475D2BD7"/>
    <w:rsid w:val="4CF770FF"/>
    <w:rsid w:val="4DF91F57"/>
    <w:rsid w:val="4F1E3244"/>
    <w:rsid w:val="51D45841"/>
    <w:rsid w:val="535169C8"/>
    <w:rsid w:val="56332607"/>
    <w:rsid w:val="5F323DD5"/>
    <w:rsid w:val="5F952C60"/>
    <w:rsid w:val="68A437D0"/>
    <w:rsid w:val="6BF23EFB"/>
    <w:rsid w:val="6DAD6778"/>
    <w:rsid w:val="6F9F112C"/>
    <w:rsid w:val="70AD04A3"/>
    <w:rsid w:val="727C6F2D"/>
    <w:rsid w:val="727F088E"/>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11604</Words>
  <Characters>12113</Characters>
  <Lines>0</Lines>
  <Paragraphs>0</Paragraphs>
  <TotalTime>2</TotalTime>
  <ScaleCrop>false</ScaleCrop>
  <LinksUpToDate>false</LinksUpToDate>
  <CharactersWithSpaces>13979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2026-02-02T01:47:00Z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1B343B710E8D461A83F78044689EC55F</vt:lpwstr>
  </property>
  <property fmtid="{D5CDD505-2E9C-101B-9397-08002B2CF9AE}" pid="4" name="KSOTemplateDocerSaveRecord">
    <vt:lpwstr>eyJoZGlkIjoiZjkxMDFiMjc2MDM2YzI0MGQ3ZWQ2YThmMjNjNjhhOGYiLCJ1c2VySWQiOiI3OTg0MjIyNjYifQ==</vt:lpwstr>
  </property>
</Properties>
</file>